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ACCC272">
      <w:pPr>
        <w:jc w:val="center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扬子大道768号园区屋面和消防改造及室外附属配套施工项目</w:t>
      </w:r>
    </w:p>
    <w:p w14:paraId="40E32102">
      <w:pPr>
        <w:jc w:val="center"/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图纸答疑-土建部分</w:t>
      </w:r>
    </w:p>
    <w:p w14:paraId="52EE8DC4">
      <w:pPr>
        <w:jc w:val="left"/>
        <w:rPr>
          <w:rFonts w:hint="eastAsia"/>
          <w:sz w:val="24"/>
          <w:szCs w:val="24"/>
          <w:lang w:val="en-US" w:eastAsia="zh-CN"/>
        </w:rPr>
      </w:pPr>
    </w:p>
    <w:p w14:paraId="322A1D53">
      <w:pPr>
        <w:jc w:val="both"/>
        <w:rPr>
          <w:rFonts w:hint="default"/>
          <w:sz w:val="24"/>
          <w:szCs w:val="24"/>
          <w:lang w:val="en-US" w:eastAsia="zh-CN"/>
        </w:rPr>
      </w:pPr>
    </w:p>
    <w:p w14:paraId="659BBAED">
      <w:pPr>
        <w:jc w:val="left"/>
        <w:rPr>
          <w:rFonts w:hint="default" w:eastAsiaTheme="minorEastAsia"/>
          <w:color w:val="0000FF"/>
          <w:sz w:val="24"/>
          <w:szCs w:val="24"/>
          <w:lang w:val="en-US" w:eastAsia="zh-CN"/>
        </w:rPr>
      </w:pPr>
      <w:r>
        <w:rPr>
          <w:rFonts w:hint="eastAsia"/>
          <w:color w:val="0000FF"/>
          <w:sz w:val="24"/>
          <w:szCs w:val="24"/>
          <w:lang w:val="en-US" w:eastAsia="zh-CN"/>
        </w:rPr>
        <w:t>关于消防水池</w:t>
      </w:r>
    </w:p>
    <w:p w14:paraId="13D89AB0">
      <w:pPr>
        <w:numPr>
          <w:ilvl w:val="0"/>
          <w:numId w:val="1"/>
        </w:numPr>
        <w:jc w:val="left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地下排水沟布局建筑图与结构图部位不一致，请明确</w:t>
      </w:r>
      <w:r>
        <w:rPr>
          <w:sz w:val="24"/>
          <w:szCs w:val="24"/>
        </w:rPr>
        <w:drawing>
          <wp:inline distT="0" distB="0" distL="114300" distR="114300">
            <wp:extent cx="5273040" cy="1487170"/>
            <wp:effectExtent l="0" t="0" r="0" b="6350"/>
            <wp:docPr id="1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3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1487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6690" cy="1445895"/>
            <wp:effectExtent l="0" t="0" r="6350" b="1905"/>
            <wp:docPr id="1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445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220964">
      <w:pPr>
        <w:numPr>
          <w:ilvl w:val="0"/>
          <w:numId w:val="0"/>
        </w:numPr>
        <w:jc w:val="left"/>
        <w:rPr>
          <w:sz w:val="24"/>
          <w:szCs w:val="24"/>
        </w:rPr>
      </w:pPr>
    </w:p>
    <w:p w14:paraId="71DDFA8B">
      <w:pPr>
        <w:numPr>
          <w:ilvl w:val="0"/>
          <w:numId w:val="0"/>
        </w:numPr>
        <w:jc w:val="left"/>
        <w:rPr>
          <w:rFonts w:hint="default" w:eastAsiaTheme="minorEastAsia"/>
          <w:color w:val="E54C5E" w:themeColor="accent6"/>
          <w:sz w:val="24"/>
          <w:szCs w:val="24"/>
          <w:lang w:val="en-US" w:eastAsia="zh-CN"/>
          <w14:textFill>
            <w14:solidFill>
              <w14:schemeClr w14:val="accent6"/>
            </w14:solidFill>
          </w14:textFill>
        </w:rPr>
      </w:pPr>
      <w:r>
        <w:rPr>
          <w:rFonts w:hint="eastAsia"/>
          <w:color w:val="E54C5E" w:themeColor="accent6"/>
          <w:sz w:val="24"/>
          <w:szCs w:val="24"/>
          <w:lang w:val="en-US" w:eastAsia="zh-CN"/>
          <w14:textFill>
            <w14:solidFill>
              <w14:schemeClr w14:val="accent6"/>
            </w14:solidFill>
          </w14:textFill>
        </w:rPr>
        <w:t>回复：以建筑为准</w:t>
      </w:r>
    </w:p>
    <w:p w14:paraId="393E9F5B">
      <w:pPr>
        <w:numPr>
          <w:ilvl w:val="0"/>
          <w:numId w:val="0"/>
        </w:numPr>
        <w:ind w:leftChars="0"/>
        <w:jc w:val="left"/>
        <w:rPr>
          <w:rFonts w:hint="default" w:eastAsiaTheme="minorEastAsia"/>
          <w:sz w:val="24"/>
          <w:szCs w:val="24"/>
          <w:lang w:val="en-US" w:eastAsia="zh-CN"/>
        </w:rPr>
      </w:pPr>
    </w:p>
    <w:p w14:paraId="46E6E81C">
      <w:pPr>
        <w:numPr>
          <w:ilvl w:val="0"/>
          <w:numId w:val="0"/>
        </w:numPr>
        <w:ind w:leftChars="0"/>
        <w:jc w:val="left"/>
        <w:rPr>
          <w:rFonts w:hint="default" w:eastAsiaTheme="minorEastAsia"/>
          <w:sz w:val="24"/>
          <w:szCs w:val="24"/>
          <w:lang w:val="en-US" w:eastAsia="zh-CN"/>
        </w:rPr>
      </w:pPr>
    </w:p>
    <w:p w14:paraId="6434B52D">
      <w:pPr>
        <w:jc w:val="left"/>
        <w:rPr>
          <w:rFonts w:hint="eastAsia"/>
          <w:color w:val="0000FF"/>
          <w:sz w:val="24"/>
          <w:szCs w:val="24"/>
          <w:lang w:val="en-US" w:eastAsia="zh-CN"/>
        </w:rPr>
      </w:pPr>
      <w:r>
        <w:rPr>
          <w:rFonts w:hint="eastAsia"/>
          <w:color w:val="0000FF"/>
          <w:sz w:val="24"/>
          <w:szCs w:val="24"/>
          <w:lang w:val="en-US" w:eastAsia="zh-CN"/>
        </w:rPr>
        <w:t>关于2#综合馆（原1、2、3#楼）</w:t>
      </w:r>
    </w:p>
    <w:p w14:paraId="7DEBEC7A">
      <w:pPr>
        <w:numPr>
          <w:ilvl w:val="0"/>
          <w:numId w:val="0"/>
        </w:numPr>
        <w:ind w:leftChars="0"/>
        <w:jc w:val="left"/>
        <w:rPr>
          <w:sz w:val="24"/>
          <w:szCs w:val="24"/>
        </w:rPr>
      </w:pPr>
    </w:p>
    <w:p w14:paraId="082989A5">
      <w:pPr>
        <w:numPr>
          <w:ilvl w:val="0"/>
          <w:numId w:val="2"/>
        </w:numPr>
        <w:ind w:left="0" w:leftChars="0" w:firstLine="0" w:firstLineChars="0"/>
        <w:jc w:val="left"/>
        <w:rPr>
          <w:sz w:val="24"/>
          <w:szCs w:val="24"/>
        </w:rPr>
      </w:pPr>
      <w:r>
        <w:rPr>
          <w:rFonts w:hint="eastAsia"/>
          <w:sz w:val="24"/>
          <w:szCs w:val="24"/>
          <w:lang w:val="en-US" w:eastAsia="zh-CN"/>
        </w:rPr>
        <w:t>室外屋面女儿墙是什么材质？屋面防水是否有上翻高度？</w:t>
      </w:r>
      <w:r>
        <w:rPr>
          <w:sz w:val="24"/>
          <w:szCs w:val="24"/>
        </w:rPr>
        <w:drawing>
          <wp:inline distT="0" distB="0" distL="114300" distR="114300">
            <wp:extent cx="5271770" cy="1974215"/>
            <wp:effectExtent l="0" t="0" r="1270" b="6985"/>
            <wp:docPr id="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1974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F1CC58">
      <w:pPr>
        <w:numPr>
          <w:ilvl w:val="0"/>
          <w:numId w:val="0"/>
        </w:numPr>
        <w:ind w:leftChars="0"/>
        <w:jc w:val="left"/>
        <w:rPr>
          <w:rFonts w:hint="default"/>
          <w:color w:val="E54C5E" w:themeColor="accent6"/>
          <w:sz w:val="24"/>
          <w:szCs w:val="24"/>
          <w:lang w:val="en-US"/>
          <w14:textFill>
            <w14:solidFill>
              <w14:schemeClr w14:val="accent6"/>
            </w14:solidFill>
          </w14:textFill>
        </w:rPr>
      </w:pPr>
      <w:r>
        <w:rPr>
          <w:rFonts w:hint="eastAsia"/>
          <w:color w:val="E54C5E" w:themeColor="accent6"/>
          <w:sz w:val="24"/>
          <w:szCs w:val="24"/>
          <w:lang w:val="en-US" w:eastAsia="zh-CN"/>
          <w14:textFill>
            <w14:solidFill>
              <w14:schemeClr w14:val="accent6"/>
            </w14:solidFill>
          </w14:textFill>
        </w:rPr>
        <w:t>回复：材质同外墙，屋面防水上翻至女儿墙顶</w:t>
      </w:r>
    </w:p>
    <w:p w14:paraId="76C34F74">
      <w:pPr>
        <w:numPr>
          <w:ilvl w:val="0"/>
          <w:numId w:val="0"/>
        </w:numPr>
        <w:ind w:leftChars="0"/>
        <w:jc w:val="left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3、此部位是否为室外雨棚？请明确该结构及建筑装饰等详细做法</w:t>
      </w:r>
    </w:p>
    <w:p w14:paraId="2BD032F0">
      <w:pPr>
        <w:numPr>
          <w:ilvl w:val="0"/>
          <w:numId w:val="0"/>
        </w:numPr>
        <w:ind w:leftChars="0"/>
        <w:jc w:val="left"/>
        <w:rPr>
          <w:sz w:val="24"/>
          <w:szCs w:val="24"/>
        </w:rPr>
      </w:pPr>
      <w:r>
        <w:rPr>
          <w:sz w:val="24"/>
          <w:szCs w:val="24"/>
        </w:rPr>
        <w:drawing>
          <wp:inline distT="0" distB="0" distL="114300" distR="114300">
            <wp:extent cx="5265420" cy="2011680"/>
            <wp:effectExtent l="0" t="0" r="7620" b="0"/>
            <wp:docPr id="29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1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011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drawing>
          <wp:inline distT="0" distB="0" distL="114300" distR="114300">
            <wp:extent cx="5264785" cy="2263775"/>
            <wp:effectExtent l="0" t="0" r="8255" b="6985"/>
            <wp:docPr id="30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1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263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83E04B">
      <w:pPr>
        <w:numPr>
          <w:ilvl w:val="0"/>
          <w:numId w:val="0"/>
        </w:numPr>
        <w:ind w:leftChars="0"/>
        <w:jc w:val="left"/>
        <w:rPr>
          <w:rFonts w:hint="default"/>
          <w:sz w:val="24"/>
          <w:szCs w:val="24"/>
          <w:lang w:val="en-US"/>
        </w:rPr>
      </w:pPr>
      <w:r>
        <w:rPr>
          <w:rFonts w:hint="eastAsia"/>
          <w:color w:val="E54C5E" w:themeColor="accent6"/>
          <w:sz w:val="24"/>
          <w:szCs w:val="24"/>
          <w:lang w:val="en-US" w:eastAsia="zh-CN"/>
          <w14:textFill>
            <w14:solidFill>
              <w14:schemeClr w14:val="accent6"/>
            </w14:solidFill>
          </w14:textFill>
        </w:rPr>
        <w:t>回复：此处为台阶示意，无做法</w:t>
      </w:r>
    </w:p>
    <w:p w14:paraId="69D74C7F">
      <w:pPr>
        <w:numPr>
          <w:ilvl w:val="0"/>
          <w:numId w:val="2"/>
        </w:numPr>
        <w:ind w:left="0" w:leftChars="0" w:firstLine="0" w:firstLineChars="0"/>
        <w:jc w:val="left"/>
        <w:rPr>
          <w:sz w:val="24"/>
          <w:szCs w:val="24"/>
        </w:rPr>
      </w:pPr>
      <w:r>
        <w:rPr>
          <w:rFonts w:hint="eastAsia"/>
          <w:sz w:val="24"/>
          <w:szCs w:val="24"/>
          <w:lang w:val="en-US" w:eastAsia="zh-CN"/>
        </w:rPr>
        <w:t>请提供该风井结构做法及大样图；平面图防雨百叶布置位置不明确</w:t>
      </w:r>
      <w:r>
        <w:rPr>
          <w:sz w:val="24"/>
          <w:szCs w:val="24"/>
        </w:rPr>
        <w:drawing>
          <wp:inline distT="0" distB="0" distL="114300" distR="114300">
            <wp:extent cx="5272405" cy="1892935"/>
            <wp:effectExtent l="0" t="0" r="635" b="12065"/>
            <wp:docPr id="31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1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892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drawing>
          <wp:inline distT="0" distB="0" distL="114300" distR="114300">
            <wp:extent cx="5268595" cy="1842135"/>
            <wp:effectExtent l="0" t="0" r="4445" b="1905"/>
            <wp:docPr id="32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1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842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B8021A">
      <w:pPr>
        <w:numPr>
          <w:ilvl w:val="0"/>
          <w:numId w:val="0"/>
        </w:numPr>
        <w:ind w:leftChars="0"/>
        <w:jc w:val="left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color w:val="E54C5E" w:themeColor="accent6"/>
          <w:sz w:val="24"/>
          <w:szCs w:val="24"/>
          <w:lang w:val="en-US" w:eastAsia="zh-CN"/>
          <w14:textFill>
            <w14:solidFill>
              <w14:schemeClr w14:val="accent6"/>
            </w14:solidFill>
          </w14:textFill>
        </w:rPr>
        <w:t>回复：</w:t>
      </w:r>
      <w:r>
        <w:rPr>
          <w:rFonts w:hint="eastAsia"/>
          <w:sz w:val="24"/>
          <w:szCs w:val="24"/>
          <w:lang w:val="en-US" w:eastAsia="zh-CN"/>
        </w:rPr>
        <w:t>防雨百叶布置</w:t>
      </w:r>
      <w:r>
        <w:rPr>
          <w:rFonts w:hint="eastAsia"/>
          <w:color w:val="E54C5E" w:themeColor="accent6"/>
          <w:sz w:val="24"/>
          <w:szCs w:val="24"/>
          <w:lang w:val="en-US" w:eastAsia="zh-CN"/>
          <w14:textFill>
            <w14:solidFill>
              <w14:schemeClr w14:val="accent6"/>
            </w14:solidFill>
          </w14:textFill>
        </w:rPr>
        <w:t>以建筑为准，</w:t>
      </w:r>
      <w:r>
        <w:rPr>
          <w:rFonts w:hint="eastAsia"/>
          <w:sz w:val="24"/>
          <w:szCs w:val="24"/>
          <w:lang w:val="en-US" w:eastAsia="zh-CN"/>
        </w:rPr>
        <w:t>风井结构做法参考排烟机房做法</w:t>
      </w:r>
    </w:p>
    <w:p w14:paraId="011A7A03">
      <w:pPr>
        <w:numPr>
          <w:ilvl w:val="0"/>
          <w:numId w:val="0"/>
        </w:numPr>
        <w:ind w:leftChars="0"/>
        <w:jc w:val="left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（</w:t>
      </w:r>
      <w:r>
        <w:rPr>
          <w:rFonts w:hint="eastAsia"/>
          <w:sz w:val="24"/>
          <w:szCs w:val="24"/>
          <w:highlight w:val="yellow"/>
          <w:lang w:val="en-US" w:eastAsia="zh-CN"/>
        </w:rPr>
        <w:t>补充回复：防雨百叶为如下方向布置，一个风井共两个百叶</w:t>
      </w:r>
      <w:r>
        <w:rPr>
          <w:rFonts w:hint="eastAsia"/>
          <w:sz w:val="24"/>
          <w:szCs w:val="24"/>
          <w:lang w:val="en-US" w:eastAsia="zh-CN"/>
        </w:rPr>
        <w:t>）</w:t>
      </w:r>
      <w:r>
        <w:drawing>
          <wp:inline distT="0" distB="0" distL="114300" distR="114300">
            <wp:extent cx="5274310" cy="1602740"/>
            <wp:effectExtent l="0" t="0" r="13970" b="12700"/>
            <wp:docPr id="1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02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D29031">
      <w:pPr>
        <w:numPr>
          <w:ilvl w:val="0"/>
          <w:numId w:val="0"/>
        </w:numPr>
        <w:ind w:leftChars="0"/>
        <w:jc w:val="left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5、本次新增顶棚做法，墙顶地面装饰做法是否在本次编制范围内？若是请明确详细做法</w:t>
      </w:r>
    </w:p>
    <w:p w14:paraId="70440744">
      <w:pPr>
        <w:numPr>
          <w:ilvl w:val="0"/>
          <w:numId w:val="0"/>
        </w:numPr>
        <w:ind w:leftChars="0"/>
        <w:jc w:val="left"/>
        <w:rPr>
          <w:sz w:val="24"/>
          <w:szCs w:val="24"/>
        </w:rPr>
      </w:pPr>
      <w:r>
        <w:rPr>
          <w:sz w:val="24"/>
          <w:szCs w:val="24"/>
        </w:rPr>
        <w:drawing>
          <wp:inline distT="0" distB="0" distL="114300" distR="114300">
            <wp:extent cx="5267325" cy="1749425"/>
            <wp:effectExtent l="0" t="0" r="5715" b="3175"/>
            <wp:docPr id="33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1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749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CC08B1">
      <w:pPr>
        <w:numPr>
          <w:ilvl w:val="0"/>
          <w:numId w:val="0"/>
        </w:numPr>
        <w:ind w:leftChars="0"/>
        <w:jc w:val="left"/>
        <w:rPr>
          <w:rFonts w:hint="default"/>
          <w:sz w:val="24"/>
          <w:szCs w:val="24"/>
          <w:lang w:val="en-US"/>
        </w:rPr>
      </w:pPr>
      <w:r>
        <w:rPr>
          <w:rFonts w:hint="eastAsia"/>
          <w:color w:val="E54C5E" w:themeColor="accent6"/>
          <w:sz w:val="24"/>
          <w:szCs w:val="24"/>
          <w:lang w:val="en-US" w:eastAsia="zh-CN"/>
          <w14:textFill>
            <w14:solidFill>
              <w14:schemeClr w14:val="accent6"/>
            </w14:solidFill>
          </w14:textFill>
        </w:rPr>
        <w:t>回复：钢结构屋面不在</w:t>
      </w:r>
      <w:r>
        <w:rPr>
          <w:rFonts w:hint="eastAsia"/>
          <w:sz w:val="24"/>
          <w:szCs w:val="24"/>
          <w:lang w:val="en-US" w:eastAsia="zh-CN"/>
        </w:rPr>
        <w:t>本次编制范围内</w:t>
      </w:r>
    </w:p>
    <w:p w14:paraId="63CCF8FB">
      <w:pPr>
        <w:numPr>
          <w:ilvl w:val="0"/>
          <w:numId w:val="0"/>
        </w:numPr>
        <w:ind w:leftChars="0"/>
        <w:jc w:val="left"/>
        <w:rPr>
          <w:sz w:val="24"/>
          <w:szCs w:val="24"/>
        </w:rPr>
      </w:pPr>
    </w:p>
    <w:p w14:paraId="22B48B0B">
      <w:pPr>
        <w:jc w:val="left"/>
        <w:rPr>
          <w:rFonts w:hint="eastAsia"/>
          <w:color w:val="0000FF"/>
          <w:sz w:val="24"/>
          <w:szCs w:val="24"/>
          <w:lang w:val="en-US" w:eastAsia="zh-CN"/>
        </w:rPr>
      </w:pPr>
      <w:r>
        <w:rPr>
          <w:rFonts w:hint="eastAsia"/>
          <w:color w:val="0000FF"/>
          <w:sz w:val="24"/>
          <w:szCs w:val="24"/>
          <w:lang w:val="en-US" w:eastAsia="zh-CN"/>
        </w:rPr>
        <w:t>关于2#餐饮集群馆（原7、8#楼）</w:t>
      </w:r>
    </w:p>
    <w:p w14:paraId="6A4BF406">
      <w:pPr>
        <w:widowControl w:val="0"/>
        <w:numPr>
          <w:ilvl w:val="0"/>
          <w:numId w:val="3"/>
        </w:numPr>
        <w:jc w:val="left"/>
        <w:rPr>
          <w:sz w:val="24"/>
          <w:szCs w:val="24"/>
        </w:rPr>
      </w:pPr>
      <w:r>
        <w:rPr>
          <w:rFonts w:hint="eastAsia"/>
          <w:sz w:val="24"/>
          <w:szCs w:val="24"/>
          <w:lang w:val="en-US" w:eastAsia="zh-CN"/>
        </w:rPr>
        <w:t>室外屋面女儿墙是什么材质？屋面防水是否有上翻？</w:t>
      </w:r>
    </w:p>
    <w:p w14:paraId="239EE2AF">
      <w:pPr>
        <w:widowControl w:val="0"/>
        <w:numPr>
          <w:ilvl w:val="0"/>
          <w:numId w:val="0"/>
        </w:numPr>
        <w:jc w:val="left"/>
        <w:rPr>
          <w:sz w:val="24"/>
          <w:szCs w:val="24"/>
        </w:rPr>
      </w:pPr>
      <w:r>
        <w:rPr>
          <w:sz w:val="24"/>
          <w:szCs w:val="24"/>
        </w:rPr>
        <w:drawing>
          <wp:inline distT="0" distB="0" distL="114300" distR="114300">
            <wp:extent cx="5227955" cy="1902460"/>
            <wp:effectExtent l="0" t="0" r="14605" b="2540"/>
            <wp:docPr id="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27955" cy="1902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C31564">
      <w:pPr>
        <w:numPr>
          <w:ilvl w:val="0"/>
          <w:numId w:val="0"/>
        </w:numPr>
        <w:ind w:leftChars="0"/>
        <w:jc w:val="left"/>
        <w:rPr>
          <w:sz w:val="24"/>
          <w:szCs w:val="24"/>
        </w:rPr>
      </w:pPr>
      <w:r>
        <w:rPr>
          <w:rFonts w:hint="eastAsia"/>
          <w:color w:val="E54C5E" w:themeColor="accent6"/>
          <w:sz w:val="24"/>
          <w:szCs w:val="24"/>
          <w:lang w:val="en-US" w:eastAsia="zh-CN"/>
          <w14:textFill>
            <w14:solidFill>
              <w14:schemeClr w14:val="accent6"/>
            </w14:solidFill>
          </w14:textFill>
        </w:rPr>
        <w:t>回复：材质同外墙，屋面防水上翻至女儿墙顶</w:t>
      </w:r>
    </w:p>
    <w:p w14:paraId="5E9F0995">
      <w:pPr>
        <w:numPr>
          <w:ilvl w:val="0"/>
          <w:numId w:val="0"/>
        </w:numPr>
        <w:ind w:leftChars="0"/>
        <w:jc w:val="left"/>
        <w:rPr>
          <w:rFonts w:hint="default"/>
          <w:sz w:val="24"/>
          <w:szCs w:val="24"/>
          <w:lang w:val="en-US"/>
        </w:rPr>
      </w:pPr>
      <w:r>
        <w:rPr>
          <w:rFonts w:hint="eastAsia"/>
          <w:sz w:val="24"/>
          <w:szCs w:val="24"/>
          <w:lang w:val="en-US" w:eastAsia="zh-CN"/>
        </w:rPr>
        <w:t>2、本次新增顶棚做法，该做法与墙顶地面的装饰做法是否在本次编制范围内？若是请明确详细做法；2#办公楼装饰做法同上述问题</w:t>
      </w:r>
    </w:p>
    <w:p w14:paraId="38195224">
      <w:pPr>
        <w:widowControl w:val="0"/>
        <w:numPr>
          <w:ilvl w:val="0"/>
          <w:numId w:val="0"/>
        </w:numPr>
        <w:ind w:leftChars="0"/>
        <w:jc w:val="left"/>
        <w:rPr>
          <w:sz w:val="24"/>
          <w:szCs w:val="24"/>
        </w:rPr>
      </w:pPr>
    </w:p>
    <w:p w14:paraId="2A8A4C85">
      <w:pPr>
        <w:widowControl w:val="0"/>
        <w:numPr>
          <w:ilvl w:val="0"/>
          <w:numId w:val="0"/>
        </w:numPr>
        <w:ind w:leftChars="0"/>
        <w:jc w:val="left"/>
        <w:rPr>
          <w:sz w:val="24"/>
          <w:szCs w:val="24"/>
        </w:rPr>
      </w:pPr>
      <w:r>
        <w:rPr>
          <w:sz w:val="24"/>
          <w:szCs w:val="24"/>
        </w:rPr>
        <w:drawing>
          <wp:inline distT="0" distB="0" distL="114300" distR="114300">
            <wp:extent cx="5271135" cy="1736725"/>
            <wp:effectExtent l="0" t="0" r="1905" b="635"/>
            <wp:docPr id="36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19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173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6B869A">
      <w:pPr>
        <w:widowControl w:val="0"/>
        <w:numPr>
          <w:ilvl w:val="0"/>
          <w:numId w:val="0"/>
        </w:numPr>
        <w:ind w:leftChars="0"/>
        <w:jc w:val="left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color w:val="E54C5E" w:themeColor="accent6"/>
          <w:sz w:val="24"/>
          <w:szCs w:val="24"/>
          <w:lang w:val="en-US" w:eastAsia="zh-CN"/>
          <w14:textFill>
            <w14:solidFill>
              <w14:schemeClr w14:val="accent6"/>
            </w14:solidFill>
          </w14:textFill>
        </w:rPr>
        <w:t>回复：钢结构屋面不在</w:t>
      </w:r>
      <w:r>
        <w:rPr>
          <w:rFonts w:hint="eastAsia"/>
          <w:sz w:val="24"/>
          <w:szCs w:val="24"/>
          <w:lang w:val="en-US" w:eastAsia="zh-CN"/>
        </w:rPr>
        <w:t>本次编制范围内</w:t>
      </w:r>
    </w:p>
    <w:p w14:paraId="23D1DF73">
      <w:pPr>
        <w:widowControl w:val="0"/>
        <w:numPr>
          <w:ilvl w:val="0"/>
          <w:numId w:val="0"/>
        </w:numPr>
        <w:jc w:val="left"/>
        <w:rPr>
          <w:sz w:val="24"/>
          <w:szCs w:val="24"/>
        </w:rPr>
      </w:pPr>
    </w:p>
    <w:p w14:paraId="71EF2372">
      <w:pPr>
        <w:widowControl w:val="0"/>
        <w:numPr>
          <w:ilvl w:val="0"/>
          <w:numId w:val="0"/>
        </w:numPr>
        <w:jc w:val="left"/>
        <w:rPr>
          <w:sz w:val="24"/>
          <w:szCs w:val="24"/>
        </w:rPr>
      </w:pPr>
      <w:r>
        <w:rPr>
          <w:rFonts w:hint="eastAsia"/>
          <w:sz w:val="24"/>
          <w:szCs w:val="24"/>
          <w:lang w:val="en-US" w:eastAsia="zh-CN"/>
        </w:rPr>
        <w:t>4、2#办公楼外墙四周无标注的门窗是否为原状保留？有标注的门窗是否为拆除新建？；内墙新建是否有二次结构等做法？（本次新增墙体，故同之前图纸版本提的问题）；</w:t>
      </w:r>
      <w:r>
        <w:rPr>
          <w:sz w:val="24"/>
          <w:szCs w:val="24"/>
        </w:rPr>
        <w:drawing>
          <wp:inline distT="0" distB="0" distL="114300" distR="114300">
            <wp:extent cx="5268595" cy="1797050"/>
            <wp:effectExtent l="0" t="0" r="4445" b="1270"/>
            <wp:docPr id="40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2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79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643F3B">
      <w:pPr>
        <w:widowControl w:val="0"/>
        <w:numPr>
          <w:ilvl w:val="0"/>
          <w:numId w:val="0"/>
        </w:numPr>
        <w:jc w:val="left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color w:val="E54C5E" w:themeColor="accent6"/>
          <w:sz w:val="24"/>
          <w:szCs w:val="24"/>
          <w:lang w:val="en-US" w:eastAsia="zh-CN"/>
          <w14:textFill>
            <w14:solidFill>
              <w14:schemeClr w14:val="accent6"/>
            </w14:solidFill>
          </w14:textFill>
        </w:rPr>
        <w:t>回复：本项目为消防改造工程，涉及的消防救援窗及防火门在本次改造范围，其余</w:t>
      </w:r>
      <w:r>
        <w:rPr>
          <w:rFonts w:hint="eastAsia"/>
          <w:sz w:val="24"/>
          <w:szCs w:val="24"/>
          <w:lang w:val="en-US" w:eastAsia="zh-CN"/>
        </w:rPr>
        <w:t>为原状保留</w:t>
      </w:r>
    </w:p>
    <w:p w14:paraId="45B5BB58">
      <w:pPr>
        <w:widowControl w:val="0"/>
        <w:numPr>
          <w:ilvl w:val="0"/>
          <w:numId w:val="0"/>
        </w:numPr>
        <w:jc w:val="left"/>
        <w:rPr>
          <w:rFonts w:hint="eastAsia"/>
          <w:sz w:val="24"/>
          <w:szCs w:val="24"/>
          <w:lang w:val="en-US" w:eastAsia="zh-CN"/>
        </w:rPr>
      </w:pPr>
    </w:p>
    <w:p w14:paraId="4B1DF1C0">
      <w:pPr>
        <w:widowControl w:val="0"/>
        <w:numPr>
          <w:ilvl w:val="0"/>
          <w:numId w:val="2"/>
        </w:numPr>
        <w:ind w:left="0" w:leftChars="0" w:firstLine="0" w:firstLineChars="0"/>
        <w:jc w:val="left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未注明的窗尺寸请明确，各层余同，且走道两侧的玻璃隔断具体做法是什么？；防火玻璃的厚度是多少？</w:t>
      </w:r>
    </w:p>
    <w:p w14:paraId="566FA8AE">
      <w:pPr>
        <w:widowControl w:val="0"/>
        <w:numPr>
          <w:ilvl w:val="0"/>
          <w:numId w:val="0"/>
        </w:numPr>
        <w:jc w:val="left"/>
        <w:rPr>
          <w:sz w:val="24"/>
          <w:szCs w:val="24"/>
        </w:rPr>
      </w:pPr>
      <w:r>
        <w:rPr>
          <w:sz w:val="24"/>
          <w:szCs w:val="24"/>
        </w:rPr>
        <w:drawing>
          <wp:inline distT="0" distB="0" distL="114300" distR="114300">
            <wp:extent cx="5268595" cy="1797050"/>
            <wp:effectExtent l="0" t="0" r="4445" b="1270"/>
            <wp:docPr id="38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2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79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78CB82">
      <w:pPr>
        <w:widowControl w:val="0"/>
        <w:numPr>
          <w:ilvl w:val="0"/>
          <w:numId w:val="0"/>
        </w:numPr>
        <w:ind w:leftChars="0"/>
        <w:jc w:val="left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color w:val="E54C5E" w:themeColor="accent6"/>
          <w:sz w:val="24"/>
          <w:szCs w:val="24"/>
          <w:lang w:val="en-US" w:eastAsia="zh-CN"/>
          <w14:textFill>
            <w14:solidFill>
              <w14:schemeClr w14:val="accent6"/>
            </w14:solidFill>
          </w14:textFill>
        </w:rPr>
        <w:t>回复：</w:t>
      </w:r>
      <w:r>
        <w:rPr>
          <w:rFonts w:hint="eastAsia"/>
          <w:sz w:val="24"/>
          <w:szCs w:val="24"/>
          <w:lang w:val="en-US" w:eastAsia="zh-CN"/>
        </w:rPr>
        <w:t>未注明的窗尺为原状保留</w:t>
      </w:r>
    </w:p>
    <w:p w14:paraId="7E1ED7A3">
      <w:pPr>
        <w:widowControl w:val="0"/>
        <w:numPr>
          <w:ilvl w:val="0"/>
          <w:numId w:val="0"/>
        </w:numPr>
        <w:jc w:val="left"/>
        <w:rPr>
          <w:sz w:val="24"/>
          <w:szCs w:val="24"/>
        </w:rPr>
      </w:pPr>
    </w:p>
    <w:p w14:paraId="13330CC8">
      <w:pPr>
        <w:widowControl w:val="0"/>
        <w:numPr>
          <w:ilvl w:val="0"/>
          <w:numId w:val="0"/>
        </w:numPr>
        <w:jc w:val="left"/>
        <w:rPr>
          <w:sz w:val="24"/>
          <w:szCs w:val="24"/>
        </w:rPr>
      </w:pPr>
    </w:p>
    <w:p w14:paraId="0BDF7A0A">
      <w:pPr>
        <w:jc w:val="left"/>
        <w:rPr>
          <w:rFonts w:hint="eastAsia"/>
          <w:color w:val="0000FF"/>
          <w:sz w:val="24"/>
          <w:szCs w:val="24"/>
          <w:lang w:val="en-US" w:eastAsia="zh-CN"/>
        </w:rPr>
      </w:pPr>
      <w:r>
        <w:rPr>
          <w:rFonts w:hint="eastAsia"/>
          <w:color w:val="0000FF"/>
          <w:sz w:val="24"/>
          <w:szCs w:val="24"/>
          <w:lang w:val="en-US" w:eastAsia="zh-CN"/>
        </w:rPr>
        <w:t>关于1#休闲项目（原1#办公楼）</w:t>
      </w:r>
    </w:p>
    <w:p w14:paraId="74B9CE58">
      <w:pPr>
        <w:widowControl w:val="0"/>
        <w:numPr>
          <w:ilvl w:val="0"/>
          <w:numId w:val="0"/>
        </w:numPr>
        <w:jc w:val="left"/>
        <w:rPr>
          <w:rFonts w:hint="default"/>
          <w:sz w:val="24"/>
          <w:szCs w:val="24"/>
          <w:lang w:val="en-US"/>
        </w:rPr>
      </w:pPr>
      <w:r>
        <w:rPr>
          <w:rFonts w:hint="eastAsia"/>
          <w:sz w:val="24"/>
          <w:szCs w:val="24"/>
          <w:lang w:val="en-US" w:eastAsia="zh-CN"/>
        </w:rPr>
        <w:t>1、外墙四周无标注的门窗是否为原状保留？有标注的门窗是否为拆除新建？请完善原建筑墙体与新建墙体填充颜色作为区分</w:t>
      </w:r>
    </w:p>
    <w:p w14:paraId="416E1E7E">
      <w:pPr>
        <w:widowControl w:val="0"/>
        <w:numPr>
          <w:ilvl w:val="0"/>
          <w:numId w:val="0"/>
        </w:numPr>
        <w:jc w:val="left"/>
        <w:rPr>
          <w:sz w:val="24"/>
          <w:szCs w:val="24"/>
        </w:rPr>
      </w:pPr>
      <w:r>
        <w:rPr>
          <w:sz w:val="24"/>
          <w:szCs w:val="24"/>
        </w:rPr>
        <w:drawing>
          <wp:inline distT="0" distB="0" distL="114300" distR="114300">
            <wp:extent cx="5274310" cy="1021715"/>
            <wp:effectExtent l="0" t="0" r="13970" b="14605"/>
            <wp:docPr id="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6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021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drawing>
          <wp:inline distT="0" distB="0" distL="114300" distR="114300">
            <wp:extent cx="5273675" cy="1752600"/>
            <wp:effectExtent l="0" t="0" r="14605" b="0"/>
            <wp:docPr id="24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9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drawing>
          <wp:inline distT="0" distB="0" distL="114300" distR="114300">
            <wp:extent cx="5273675" cy="1586230"/>
            <wp:effectExtent l="0" t="0" r="14605" b="13970"/>
            <wp:docPr id="25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0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1586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C410F6">
      <w:pPr>
        <w:widowControl w:val="0"/>
        <w:numPr>
          <w:ilvl w:val="0"/>
          <w:numId w:val="0"/>
        </w:numPr>
        <w:jc w:val="left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color w:val="E54C5E" w:themeColor="accent6"/>
          <w:sz w:val="24"/>
          <w:szCs w:val="24"/>
          <w:lang w:val="en-US" w:eastAsia="zh-CN"/>
          <w14:textFill>
            <w14:solidFill>
              <w14:schemeClr w14:val="accent6"/>
            </w14:solidFill>
          </w14:textFill>
        </w:rPr>
        <w:t>回复：本项目为消防改造工程，涉及的消防救援窗及防火门在本次改造范围，其余</w:t>
      </w:r>
      <w:r>
        <w:rPr>
          <w:rFonts w:hint="eastAsia"/>
          <w:sz w:val="24"/>
          <w:szCs w:val="24"/>
          <w:lang w:val="en-US" w:eastAsia="zh-CN"/>
        </w:rPr>
        <w:t>为原状保留，已补充墙体图纸</w:t>
      </w:r>
    </w:p>
    <w:p w14:paraId="707B8353">
      <w:pPr>
        <w:widowControl w:val="0"/>
        <w:numPr>
          <w:ilvl w:val="0"/>
          <w:numId w:val="0"/>
        </w:numPr>
        <w:jc w:val="left"/>
        <w:rPr>
          <w:sz w:val="24"/>
          <w:szCs w:val="24"/>
        </w:rPr>
      </w:pPr>
      <w:r>
        <w:rPr>
          <w:rFonts w:hint="eastAsia"/>
          <w:sz w:val="24"/>
          <w:szCs w:val="24"/>
          <w:lang w:val="en-US" w:eastAsia="zh-CN"/>
        </w:rPr>
        <w:t>2、新增室外封闭楼梯间墙体是什么材质及做法？钢结构楼梯是否在本次编制范围内？请明确</w:t>
      </w:r>
      <w:r>
        <w:rPr>
          <w:sz w:val="24"/>
          <w:szCs w:val="24"/>
        </w:rPr>
        <w:drawing>
          <wp:inline distT="0" distB="0" distL="114300" distR="114300">
            <wp:extent cx="5273675" cy="2566035"/>
            <wp:effectExtent l="0" t="0" r="14605" b="9525"/>
            <wp:docPr id="13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0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566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0267AA">
      <w:pPr>
        <w:widowControl w:val="0"/>
        <w:numPr>
          <w:ilvl w:val="0"/>
          <w:numId w:val="0"/>
        </w:numPr>
        <w:jc w:val="left"/>
        <w:rPr>
          <w:rFonts w:hint="eastAsia" w:eastAsiaTheme="minorEastAsia"/>
          <w:sz w:val="24"/>
          <w:szCs w:val="24"/>
          <w:lang w:val="en-US" w:eastAsia="zh-CN"/>
        </w:rPr>
      </w:pPr>
    </w:p>
    <w:p w14:paraId="37FDA8B4">
      <w:pPr>
        <w:widowControl w:val="0"/>
        <w:numPr>
          <w:ilvl w:val="0"/>
          <w:numId w:val="0"/>
        </w:numPr>
        <w:jc w:val="left"/>
        <w:rPr>
          <w:sz w:val="24"/>
          <w:szCs w:val="24"/>
        </w:rPr>
      </w:pPr>
      <w:r>
        <w:rPr>
          <w:rFonts w:hint="eastAsia"/>
          <w:color w:val="E54C5E" w:themeColor="accent6"/>
          <w:sz w:val="24"/>
          <w:szCs w:val="24"/>
          <w:lang w:val="en-US" w:eastAsia="zh-CN"/>
          <w14:textFill>
            <w14:solidFill>
              <w14:schemeClr w14:val="accent6"/>
            </w14:solidFill>
          </w14:textFill>
        </w:rPr>
        <w:t>回复：本项目新增隔墙采用200厚煤矸石多孔砖，耐火极限不低于2.0h，详参13J502-1。</w:t>
      </w:r>
      <w:r>
        <w:rPr>
          <w:rFonts w:hint="eastAsia"/>
          <w:sz w:val="24"/>
          <w:szCs w:val="24"/>
          <w:lang w:val="en-US" w:eastAsia="zh-CN"/>
        </w:rPr>
        <w:t>钢结构楼梯在本次编制范围内</w:t>
      </w:r>
    </w:p>
    <w:p w14:paraId="2CA76DBA">
      <w:pPr>
        <w:widowControl w:val="0"/>
        <w:numPr>
          <w:ilvl w:val="0"/>
          <w:numId w:val="0"/>
        </w:numPr>
        <w:jc w:val="left"/>
        <w:rPr>
          <w:sz w:val="24"/>
          <w:szCs w:val="24"/>
        </w:rPr>
      </w:pPr>
    </w:p>
    <w:p w14:paraId="158AACE3">
      <w:pPr>
        <w:widowControl w:val="0"/>
        <w:numPr>
          <w:ilvl w:val="0"/>
          <w:numId w:val="0"/>
        </w:numPr>
        <w:jc w:val="left"/>
        <w:rPr>
          <w:sz w:val="24"/>
          <w:szCs w:val="24"/>
        </w:rPr>
      </w:pPr>
    </w:p>
    <w:p w14:paraId="14F72EAE">
      <w:pPr>
        <w:widowControl w:val="0"/>
        <w:numPr>
          <w:ilvl w:val="0"/>
          <w:numId w:val="0"/>
        </w:numPr>
        <w:jc w:val="left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4、未注明的窗尺寸请明确，各层余同，请提供门窗表，且走道两侧的玻璃隔断具体做法是什么？；防火玻璃的厚度是多少？（同上述2#办公楼问题）</w:t>
      </w:r>
    </w:p>
    <w:p w14:paraId="508A9154">
      <w:pPr>
        <w:widowControl w:val="0"/>
        <w:numPr>
          <w:ilvl w:val="0"/>
          <w:numId w:val="0"/>
        </w:numPr>
        <w:jc w:val="left"/>
        <w:rPr>
          <w:sz w:val="24"/>
          <w:szCs w:val="24"/>
        </w:rPr>
      </w:pPr>
      <w:r>
        <w:rPr>
          <w:sz w:val="24"/>
          <w:szCs w:val="24"/>
        </w:rPr>
        <w:drawing>
          <wp:inline distT="0" distB="0" distL="114300" distR="114300">
            <wp:extent cx="5266690" cy="2367915"/>
            <wp:effectExtent l="0" t="0" r="6350" b="9525"/>
            <wp:docPr id="27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2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67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drawing>
          <wp:inline distT="0" distB="0" distL="114300" distR="114300">
            <wp:extent cx="5264150" cy="1896745"/>
            <wp:effectExtent l="0" t="0" r="8890" b="8255"/>
            <wp:docPr id="39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2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1896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drawing>
          <wp:inline distT="0" distB="0" distL="114300" distR="114300">
            <wp:extent cx="5272405" cy="1914525"/>
            <wp:effectExtent l="0" t="0" r="635" b="5715"/>
            <wp:docPr id="16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3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B4A6E6">
      <w:pPr>
        <w:widowControl w:val="0"/>
        <w:numPr>
          <w:ilvl w:val="0"/>
          <w:numId w:val="0"/>
        </w:numPr>
        <w:ind w:leftChars="0"/>
        <w:jc w:val="left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color w:val="E54C5E" w:themeColor="accent6"/>
          <w:sz w:val="24"/>
          <w:szCs w:val="24"/>
          <w:lang w:val="en-US" w:eastAsia="zh-CN"/>
          <w14:textFill>
            <w14:solidFill>
              <w14:schemeClr w14:val="accent6"/>
            </w14:solidFill>
          </w14:textFill>
        </w:rPr>
        <w:t>回复：</w:t>
      </w:r>
      <w:r>
        <w:rPr>
          <w:rFonts w:hint="eastAsia"/>
          <w:sz w:val="24"/>
          <w:szCs w:val="24"/>
          <w:lang w:val="en-US" w:eastAsia="zh-CN"/>
        </w:rPr>
        <w:t>未注明的窗尺为原状保留</w:t>
      </w:r>
    </w:p>
    <w:p w14:paraId="654F458D">
      <w:pPr>
        <w:widowControl w:val="0"/>
        <w:numPr>
          <w:ilvl w:val="0"/>
          <w:numId w:val="0"/>
        </w:numPr>
        <w:jc w:val="left"/>
        <w:rPr>
          <w:sz w:val="24"/>
          <w:szCs w:val="24"/>
        </w:rPr>
      </w:pPr>
    </w:p>
    <w:p w14:paraId="37CB2E8C">
      <w:pPr>
        <w:widowControl w:val="0"/>
        <w:numPr>
          <w:ilvl w:val="0"/>
          <w:numId w:val="0"/>
        </w:numPr>
        <w:ind w:leftChars="0"/>
        <w:jc w:val="left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5、设计说明新增墙体为200厚，平面图尺寸为240/120厚，墙厚与设计说明不一致请明确，</w:t>
      </w:r>
    </w:p>
    <w:p w14:paraId="6B74092C">
      <w:pPr>
        <w:widowControl w:val="0"/>
        <w:numPr>
          <w:ilvl w:val="0"/>
          <w:numId w:val="0"/>
        </w:numPr>
        <w:jc w:val="left"/>
        <w:rPr>
          <w:rFonts w:hint="default"/>
          <w:sz w:val="24"/>
          <w:szCs w:val="24"/>
          <w:lang w:val="en-US" w:eastAsia="zh-CN"/>
        </w:rPr>
      </w:pPr>
    </w:p>
    <w:p w14:paraId="765354D8">
      <w:pPr>
        <w:widowControl w:val="0"/>
        <w:numPr>
          <w:ilvl w:val="0"/>
          <w:numId w:val="0"/>
        </w:numPr>
        <w:jc w:val="left"/>
        <w:rPr>
          <w:sz w:val="24"/>
          <w:szCs w:val="24"/>
        </w:rPr>
      </w:pPr>
      <w:r>
        <w:rPr>
          <w:sz w:val="24"/>
          <w:szCs w:val="24"/>
        </w:rPr>
        <w:drawing>
          <wp:inline distT="0" distB="0" distL="114300" distR="114300">
            <wp:extent cx="5266055" cy="1544955"/>
            <wp:effectExtent l="0" t="0" r="6985" b="9525"/>
            <wp:docPr id="18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5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1544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630FCF">
      <w:pPr>
        <w:widowControl w:val="0"/>
        <w:numPr>
          <w:ilvl w:val="0"/>
          <w:numId w:val="0"/>
        </w:numPr>
        <w:jc w:val="left"/>
        <w:rPr>
          <w:sz w:val="24"/>
          <w:szCs w:val="24"/>
        </w:rPr>
      </w:pPr>
      <w:r>
        <w:rPr>
          <w:sz w:val="24"/>
          <w:szCs w:val="24"/>
        </w:rPr>
        <w:drawing>
          <wp:inline distT="0" distB="0" distL="114300" distR="114300">
            <wp:extent cx="5262880" cy="1576070"/>
            <wp:effectExtent l="0" t="0" r="10160" b="8890"/>
            <wp:docPr id="21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8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1576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9185A2">
      <w:pPr>
        <w:widowControl w:val="0"/>
        <w:numPr>
          <w:ilvl w:val="0"/>
          <w:numId w:val="0"/>
        </w:numPr>
        <w:jc w:val="left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color w:val="E54C5E" w:themeColor="accent6"/>
          <w:sz w:val="24"/>
          <w:szCs w:val="24"/>
          <w:lang w:val="en-US" w:eastAsia="zh-CN"/>
          <w14:textFill>
            <w14:solidFill>
              <w14:schemeClr w14:val="accent6"/>
            </w14:solidFill>
          </w14:textFill>
        </w:rPr>
        <w:t>回复：以设计说明为准</w:t>
      </w:r>
    </w:p>
    <w:p w14:paraId="431818F1">
      <w:pPr>
        <w:widowControl w:val="0"/>
        <w:numPr>
          <w:ilvl w:val="0"/>
          <w:numId w:val="4"/>
        </w:numPr>
        <w:ind w:leftChars="0"/>
        <w:jc w:val="left"/>
        <w:rPr>
          <w:sz w:val="24"/>
          <w:szCs w:val="24"/>
        </w:rPr>
      </w:pPr>
      <w:r>
        <w:rPr>
          <w:rFonts w:hint="eastAsia"/>
          <w:sz w:val="24"/>
          <w:szCs w:val="24"/>
          <w:lang w:val="en-US" w:eastAsia="zh-CN"/>
        </w:rPr>
        <w:t>一层改造后平面图中此处门是否为门联窗？该尺寸请明确</w:t>
      </w:r>
      <w:r>
        <w:rPr>
          <w:sz w:val="24"/>
          <w:szCs w:val="24"/>
        </w:rPr>
        <w:drawing>
          <wp:inline distT="0" distB="0" distL="114300" distR="114300">
            <wp:extent cx="5274310" cy="1795145"/>
            <wp:effectExtent l="0" t="0" r="13970" b="3175"/>
            <wp:docPr id="20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7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95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CB65D8">
      <w:pPr>
        <w:widowControl w:val="0"/>
        <w:numPr>
          <w:numId w:val="0"/>
        </w:numPr>
        <w:jc w:val="left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color w:val="E54C5E" w:themeColor="accent6"/>
          <w:sz w:val="24"/>
          <w:szCs w:val="24"/>
          <w:lang w:val="en-US" w:eastAsia="zh-CN"/>
          <w14:textFill>
            <w14:solidFill>
              <w14:schemeClr w14:val="accent6"/>
            </w14:solidFill>
          </w14:textFill>
        </w:rPr>
        <w:t>回复：</w:t>
      </w:r>
      <w:r>
        <w:rPr>
          <w:rFonts w:hint="eastAsia"/>
          <w:sz w:val="24"/>
          <w:szCs w:val="24"/>
          <w:lang w:val="en-US" w:eastAsia="zh-CN"/>
        </w:rPr>
        <w:t>未注明的门窗尺为原状保留</w:t>
      </w:r>
    </w:p>
    <w:p w14:paraId="0628D42C">
      <w:pPr>
        <w:widowControl w:val="0"/>
        <w:numPr>
          <w:ilvl w:val="0"/>
          <w:numId w:val="5"/>
        </w:numPr>
        <w:jc w:val="left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封闭楼梯间的屋面女儿墙是什么材质？是砖砌还是混凝土？屋面板是什么材质？若是混凝土板请明确板厚、板混凝土等级、板配筋，板底是否做装饰例如天棚腻子乳胶漆、屋面是否做防水、做防水是否上翻，若是其他材质请明确相应做法</w:t>
      </w:r>
    </w:p>
    <w:p w14:paraId="38DEDEB5">
      <w:pPr>
        <w:widowControl w:val="0"/>
        <w:numPr>
          <w:ilvl w:val="0"/>
          <w:numId w:val="0"/>
        </w:numPr>
        <w:jc w:val="left"/>
        <w:rPr>
          <w:sz w:val="24"/>
          <w:szCs w:val="24"/>
        </w:rPr>
      </w:pPr>
      <w:r>
        <w:rPr>
          <w:sz w:val="24"/>
          <w:szCs w:val="24"/>
        </w:rPr>
        <w:drawing>
          <wp:inline distT="0" distB="0" distL="114300" distR="114300">
            <wp:extent cx="5269230" cy="1764665"/>
            <wp:effectExtent l="0" t="0" r="3810" b="3175"/>
            <wp:docPr id="26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1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1764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60F5BE">
      <w:pPr>
        <w:widowControl w:val="0"/>
        <w:numPr>
          <w:ilvl w:val="0"/>
          <w:numId w:val="0"/>
        </w:numPr>
        <w:jc w:val="left"/>
        <w:rPr>
          <w:sz w:val="24"/>
          <w:szCs w:val="24"/>
        </w:rPr>
      </w:pPr>
      <w:r>
        <w:rPr>
          <w:rFonts w:hint="eastAsia"/>
          <w:color w:val="E54C5E" w:themeColor="accent6"/>
          <w:sz w:val="24"/>
          <w:szCs w:val="24"/>
          <w:lang w:val="en-US" w:eastAsia="zh-CN"/>
          <w14:textFill>
            <w14:solidFill>
              <w14:schemeClr w14:val="accent6"/>
            </w14:solidFill>
          </w14:textFill>
        </w:rPr>
        <w:t>回复：女儿墙材质同外墙，屋面板做法同本项目排烟机房做法</w:t>
      </w:r>
    </w:p>
    <w:p w14:paraId="6367B718">
      <w:pPr>
        <w:widowControl w:val="0"/>
        <w:numPr>
          <w:ilvl w:val="0"/>
          <w:numId w:val="0"/>
        </w:numPr>
        <w:jc w:val="left"/>
        <w:rPr>
          <w:sz w:val="24"/>
          <w:szCs w:val="24"/>
        </w:rPr>
      </w:pPr>
    </w:p>
    <w:p w14:paraId="0F244999">
      <w:pPr>
        <w:jc w:val="left"/>
        <w:rPr>
          <w:rFonts w:hint="eastAsia"/>
          <w:color w:val="0000FF"/>
          <w:sz w:val="24"/>
          <w:szCs w:val="24"/>
          <w:lang w:val="en-US" w:eastAsia="zh-CN"/>
        </w:rPr>
      </w:pPr>
      <w:r>
        <w:rPr>
          <w:rFonts w:hint="eastAsia"/>
          <w:color w:val="0000FF"/>
          <w:sz w:val="24"/>
          <w:szCs w:val="24"/>
          <w:lang w:val="en-US" w:eastAsia="zh-CN"/>
        </w:rPr>
        <w:t>关于消控室</w:t>
      </w:r>
    </w:p>
    <w:p w14:paraId="4EFA31C9">
      <w:pPr>
        <w:widowControl w:val="0"/>
        <w:numPr>
          <w:ilvl w:val="0"/>
          <w:numId w:val="6"/>
        </w:numPr>
        <w:jc w:val="left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此处200高门槛混凝土等级多少？是否有配筋？挡鼠板是什么材质？</w:t>
      </w:r>
    </w:p>
    <w:p w14:paraId="5C853C67">
      <w:pPr>
        <w:widowControl w:val="0"/>
        <w:numPr>
          <w:ilvl w:val="0"/>
          <w:numId w:val="0"/>
        </w:numPr>
        <w:jc w:val="left"/>
      </w:pPr>
      <w:r>
        <w:drawing>
          <wp:inline distT="0" distB="0" distL="114300" distR="114300">
            <wp:extent cx="5265420" cy="1323975"/>
            <wp:effectExtent l="0" t="0" r="7620" b="1905"/>
            <wp:docPr id="51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33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1323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834A5F">
      <w:pPr>
        <w:widowControl w:val="0"/>
        <w:numPr>
          <w:ilvl w:val="0"/>
          <w:numId w:val="0"/>
        </w:numPr>
        <w:jc w:val="left"/>
        <w:rPr>
          <w:rFonts w:hint="default"/>
          <w:lang w:val="en-US"/>
        </w:rPr>
      </w:pPr>
      <w:r>
        <w:rPr>
          <w:rFonts w:hint="eastAsia"/>
          <w:color w:val="E54C5E" w:themeColor="accent6"/>
          <w:sz w:val="24"/>
          <w:szCs w:val="24"/>
          <w:lang w:val="en-US" w:eastAsia="zh-CN"/>
          <w14:textFill>
            <w14:solidFill>
              <w14:schemeClr w14:val="accent6"/>
            </w14:solidFill>
          </w14:textFill>
        </w:rPr>
        <w:t>回复：</w:t>
      </w:r>
      <w:r>
        <w:rPr>
          <w:rFonts w:hint="eastAsia"/>
          <w:sz w:val="24"/>
          <w:szCs w:val="24"/>
          <w:lang w:val="en-US" w:eastAsia="zh-CN"/>
        </w:rPr>
        <w:t>门槛为20素混凝土，挡鼠板材质为不锈钢</w:t>
      </w:r>
    </w:p>
    <w:p w14:paraId="4CAFEAD8">
      <w:pPr>
        <w:widowControl w:val="0"/>
        <w:numPr>
          <w:ilvl w:val="0"/>
          <w:numId w:val="6"/>
        </w:numPr>
        <w:ind w:left="0" w:leftChars="0" w:firstLine="0" w:firstLineChars="0"/>
        <w:jc w:val="left"/>
      </w:pPr>
      <w:r>
        <w:rPr>
          <w:rFonts w:hint="eastAsia"/>
          <w:sz w:val="24"/>
          <w:szCs w:val="24"/>
          <w:lang w:val="en-US" w:eastAsia="zh-CN"/>
        </w:rPr>
        <w:t>本次散水、台阶是否在本次编制范围内？（之前取消）</w:t>
      </w:r>
      <w:r>
        <w:drawing>
          <wp:inline distT="0" distB="0" distL="114300" distR="114300">
            <wp:extent cx="5264150" cy="1076960"/>
            <wp:effectExtent l="0" t="0" r="8890" b="5080"/>
            <wp:docPr id="52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34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1076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0FEACF">
      <w:pPr>
        <w:widowControl w:val="0"/>
        <w:numPr>
          <w:ilvl w:val="0"/>
          <w:numId w:val="0"/>
        </w:numPr>
        <w:ind w:leftChars="0"/>
        <w:jc w:val="left"/>
        <w:rPr>
          <w:rFonts w:hint="default"/>
          <w:lang w:val="en-US"/>
        </w:rPr>
      </w:pPr>
      <w:r>
        <w:rPr>
          <w:rFonts w:hint="eastAsia"/>
          <w:color w:val="E54C5E" w:themeColor="accent6"/>
          <w:sz w:val="24"/>
          <w:szCs w:val="24"/>
          <w:lang w:val="en-US" w:eastAsia="zh-CN"/>
          <w14:textFill>
            <w14:solidFill>
              <w14:schemeClr w14:val="accent6"/>
            </w14:solidFill>
          </w14:textFill>
        </w:rPr>
        <w:t>回复：不在</w:t>
      </w:r>
    </w:p>
    <w:p w14:paraId="1FB7D7DF">
      <w:pPr>
        <w:widowControl w:val="0"/>
        <w:numPr>
          <w:ilvl w:val="0"/>
          <w:numId w:val="6"/>
        </w:numPr>
        <w:ind w:left="0" w:leftChars="0" w:firstLine="0" w:firstLineChars="0"/>
        <w:jc w:val="left"/>
        <w:rPr>
          <w:sz w:val="24"/>
          <w:szCs w:val="24"/>
        </w:rPr>
      </w:pPr>
      <w:r>
        <w:rPr>
          <w:rFonts w:hint="eastAsia"/>
          <w:sz w:val="24"/>
          <w:szCs w:val="24"/>
          <w:lang w:val="en-US" w:eastAsia="zh-CN"/>
        </w:rPr>
        <w:t>本次钢结构雨棚是否在本次编制范围内？（之前在，未提供钢结构做法），若在本次编制范围内请提供钢结构雨棚做法</w:t>
      </w:r>
      <w:r>
        <w:rPr>
          <w:sz w:val="24"/>
          <w:szCs w:val="24"/>
        </w:rPr>
        <w:drawing>
          <wp:inline distT="0" distB="0" distL="114300" distR="114300">
            <wp:extent cx="5268595" cy="1201420"/>
            <wp:effectExtent l="0" t="0" r="4445" b="2540"/>
            <wp:docPr id="46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28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201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4C8828">
      <w:pPr>
        <w:widowControl w:val="0"/>
        <w:numPr>
          <w:ilvl w:val="0"/>
          <w:numId w:val="0"/>
        </w:numPr>
        <w:ind w:leftChars="0"/>
        <w:jc w:val="left"/>
        <w:rPr>
          <w:rFonts w:hint="default"/>
          <w:lang w:val="en-US"/>
        </w:rPr>
      </w:pPr>
      <w:r>
        <w:rPr>
          <w:rFonts w:hint="eastAsia"/>
          <w:color w:val="E54C5E" w:themeColor="accent6"/>
          <w:sz w:val="24"/>
          <w:szCs w:val="24"/>
          <w:lang w:val="en-US" w:eastAsia="zh-CN"/>
          <w14:textFill>
            <w14:solidFill>
              <w14:schemeClr w14:val="accent6"/>
            </w14:solidFill>
          </w14:textFill>
        </w:rPr>
        <w:t>回复：不在</w:t>
      </w:r>
    </w:p>
    <w:p w14:paraId="10A68285">
      <w:pPr>
        <w:widowControl w:val="0"/>
        <w:numPr>
          <w:ilvl w:val="0"/>
          <w:numId w:val="0"/>
        </w:numPr>
        <w:ind w:leftChars="0"/>
        <w:jc w:val="left"/>
        <w:rPr>
          <w:sz w:val="24"/>
          <w:szCs w:val="24"/>
        </w:rPr>
      </w:pPr>
    </w:p>
    <w:p w14:paraId="3CBEE2CC">
      <w:pPr>
        <w:widowControl w:val="0"/>
        <w:numPr>
          <w:ilvl w:val="0"/>
          <w:numId w:val="6"/>
        </w:numPr>
        <w:ind w:left="0" w:leftChars="0" w:firstLine="0" w:firstLineChars="0"/>
        <w:jc w:val="left"/>
        <w:rPr>
          <w:sz w:val="24"/>
          <w:szCs w:val="24"/>
        </w:rPr>
      </w:pPr>
      <w:r>
        <w:rPr>
          <w:rFonts w:hint="eastAsia"/>
          <w:sz w:val="24"/>
          <w:szCs w:val="24"/>
          <w:lang w:val="en-US" w:eastAsia="zh-CN"/>
        </w:rPr>
        <w:t>本次抗静电地板是否在本次编制范围内？（之前不在，且平面大样图及名称与建筑平面图部位不一致），若本次有抗静电地板，请提供做法，例如地板厚度、龙骨规格尺寸、间距、离地高度等</w:t>
      </w:r>
      <w:r>
        <w:rPr>
          <w:sz w:val="24"/>
          <w:szCs w:val="24"/>
        </w:rPr>
        <w:drawing>
          <wp:inline distT="0" distB="0" distL="114300" distR="114300">
            <wp:extent cx="5273040" cy="1395095"/>
            <wp:effectExtent l="0" t="0" r="0" b="6985"/>
            <wp:docPr id="47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29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1395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2D1E57">
      <w:pPr>
        <w:widowControl w:val="0"/>
        <w:numPr>
          <w:ilvl w:val="0"/>
          <w:numId w:val="0"/>
        </w:numPr>
        <w:ind w:leftChars="0"/>
        <w:jc w:val="left"/>
        <w:rPr>
          <w:rFonts w:hint="default"/>
          <w:b/>
          <w:bCs/>
          <w:color w:val="FF0000"/>
          <w:sz w:val="24"/>
          <w:szCs w:val="24"/>
          <w:lang w:val="en-US" w:eastAsia="zh-CN"/>
        </w:rPr>
      </w:pPr>
      <w:r>
        <w:rPr>
          <w:rFonts w:hint="eastAsia"/>
          <w:color w:val="FF0000"/>
          <w:sz w:val="24"/>
          <w:szCs w:val="24"/>
          <w:lang w:val="en-US" w:eastAsia="zh-CN"/>
        </w:rPr>
        <w:t>回复：抗静电地板位置以建筑平面图消控室位置为准，地板厚度为30厚、龙骨规格尺寸570x32x21，壁厚0.8、间距600x600、离地高度300</w:t>
      </w:r>
    </w:p>
    <w:p w14:paraId="3AE4E214">
      <w:pPr>
        <w:widowControl w:val="0"/>
        <w:numPr>
          <w:numId w:val="0"/>
        </w:numPr>
        <w:ind w:leftChars="0"/>
        <w:jc w:val="left"/>
        <w:rPr>
          <w:sz w:val="24"/>
          <w:szCs w:val="24"/>
        </w:rPr>
      </w:pPr>
    </w:p>
    <w:p w14:paraId="7AB1B3A2">
      <w:pPr>
        <w:widowControl w:val="0"/>
        <w:numPr>
          <w:ilvl w:val="0"/>
          <w:numId w:val="6"/>
        </w:numPr>
        <w:ind w:left="0" w:leftChars="0" w:firstLine="0" w:firstLineChars="0"/>
        <w:jc w:val="left"/>
        <w:rPr>
          <w:sz w:val="24"/>
          <w:szCs w:val="24"/>
        </w:rPr>
      </w:pPr>
      <w:r>
        <w:rPr>
          <w:rFonts w:hint="eastAsia"/>
          <w:sz w:val="24"/>
          <w:szCs w:val="24"/>
          <w:lang w:val="en-US" w:eastAsia="zh-CN"/>
        </w:rPr>
        <w:t>顶棚涂料遍数是否与内墙一致？</w:t>
      </w:r>
      <w:r>
        <w:rPr>
          <w:sz w:val="24"/>
          <w:szCs w:val="24"/>
        </w:rPr>
        <w:drawing>
          <wp:inline distT="0" distB="0" distL="114300" distR="114300">
            <wp:extent cx="5269230" cy="1378585"/>
            <wp:effectExtent l="0" t="0" r="3810" b="8255"/>
            <wp:docPr id="50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32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1378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5F90F9">
      <w:pPr>
        <w:widowControl w:val="0"/>
        <w:numPr>
          <w:numId w:val="0"/>
        </w:numPr>
        <w:ind w:leftChars="0"/>
        <w:jc w:val="left"/>
        <w:rPr>
          <w:rFonts w:hint="eastAsia"/>
          <w:sz w:val="24"/>
          <w:szCs w:val="24"/>
          <w:lang w:val="en-US" w:eastAsia="zh-CN"/>
        </w:rPr>
      </w:pPr>
      <w:bookmarkStart w:id="0" w:name="_GoBack"/>
      <w:bookmarkEnd w:id="0"/>
      <w:r>
        <w:rPr>
          <w:rFonts w:hint="eastAsia"/>
          <w:color w:val="E54C5E" w:themeColor="accent6"/>
          <w:sz w:val="24"/>
          <w:szCs w:val="24"/>
          <w:lang w:val="en-US" w:eastAsia="zh-CN"/>
          <w14:textFill>
            <w14:solidFill>
              <w14:schemeClr w14:val="accent6"/>
            </w14:solidFill>
          </w14:textFill>
        </w:rPr>
        <w:t>回复：一致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98C202B0"/>
    <w:multiLevelType w:val="singleLevel"/>
    <w:tmpl w:val="98C202B0"/>
    <w:lvl w:ilvl="0" w:tentative="0">
      <w:start w:val="1"/>
      <w:numFmt w:val="decimal"/>
      <w:suff w:val="nothing"/>
      <w:lvlText w:val="%1、"/>
      <w:lvlJc w:val="left"/>
    </w:lvl>
  </w:abstractNum>
  <w:abstractNum w:abstractNumId="1">
    <w:nsid w:val="ABA77F71"/>
    <w:multiLevelType w:val="singleLevel"/>
    <w:tmpl w:val="ABA77F71"/>
    <w:lvl w:ilvl="0" w:tentative="0">
      <w:start w:val="1"/>
      <w:numFmt w:val="decimal"/>
      <w:suff w:val="nothing"/>
      <w:lvlText w:val="%1、"/>
      <w:lvlJc w:val="left"/>
    </w:lvl>
  </w:abstractNum>
  <w:abstractNum w:abstractNumId="2">
    <w:nsid w:val="DBF0C414"/>
    <w:multiLevelType w:val="singleLevel"/>
    <w:tmpl w:val="DBF0C414"/>
    <w:lvl w:ilvl="0" w:tentative="0">
      <w:start w:val="6"/>
      <w:numFmt w:val="decimal"/>
      <w:suff w:val="nothing"/>
      <w:lvlText w:val="%1、"/>
      <w:lvlJc w:val="left"/>
    </w:lvl>
  </w:abstractNum>
  <w:abstractNum w:abstractNumId="3">
    <w:nsid w:val="DFA7D9E1"/>
    <w:multiLevelType w:val="singleLevel"/>
    <w:tmpl w:val="DFA7D9E1"/>
    <w:lvl w:ilvl="0" w:tentative="0">
      <w:start w:val="1"/>
      <w:numFmt w:val="decimal"/>
      <w:suff w:val="nothing"/>
      <w:lvlText w:val="%1、"/>
      <w:lvlJc w:val="left"/>
    </w:lvl>
  </w:abstractNum>
  <w:abstractNum w:abstractNumId="4">
    <w:nsid w:val="E8B8FE48"/>
    <w:multiLevelType w:val="singleLevel"/>
    <w:tmpl w:val="E8B8FE48"/>
    <w:lvl w:ilvl="0" w:tentative="0">
      <w:start w:val="6"/>
      <w:numFmt w:val="decimal"/>
      <w:suff w:val="nothing"/>
      <w:lvlText w:val="%1、"/>
      <w:lvlJc w:val="left"/>
    </w:lvl>
  </w:abstractNum>
  <w:abstractNum w:abstractNumId="5">
    <w:nsid w:val="3C57E91B"/>
    <w:multiLevelType w:val="singleLevel"/>
    <w:tmpl w:val="3C57E91B"/>
    <w:lvl w:ilvl="0" w:tentative="0">
      <w:start w:val="1"/>
      <w:numFmt w:val="decimal"/>
      <w:suff w:val="nothing"/>
      <w:lvlText w:val="%1、"/>
      <w:lvlJc w:val="left"/>
    </w:lvl>
  </w:abstractNum>
  <w:num w:numId="1">
    <w:abstractNumId w:val="5"/>
  </w:num>
  <w:num w:numId="2">
    <w:abstractNumId w:val="0"/>
  </w:num>
  <w:num w:numId="3">
    <w:abstractNumId w:val="1"/>
  </w:num>
  <w:num w:numId="4">
    <w:abstractNumId w:val="4"/>
  </w:num>
  <w:num w:numId="5">
    <w:abstractNumId w:val="2"/>
  </w:num>
  <w:num w:numId="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055574E"/>
    <w:rsid w:val="0099584C"/>
    <w:rsid w:val="019B1886"/>
    <w:rsid w:val="01AE3368"/>
    <w:rsid w:val="02072A78"/>
    <w:rsid w:val="049370A3"/>
    <w:rsid w:val="04C82992"/>
    <w:rsid w:val="04E11CA6"/>
    <w:rsid w:val="053B7608"/>
    <w:rsid w:val="0548762F"/>
    <w:rsid w:val="05C93C39"/>
    <w:rsid w:val="06BD404D"/>
    <w:rsid w:val="073C1416"/>
    <w:rsid w:val="075A7AEE"/>
    <w:rsid w:val="08297BEC"/>
    <w:rsid w:val="08E6788B"/>
    <w:rsid w:val="09095327"/>
    <w:rsid w:val="0B3D575C"/>
    <w:rsid w:val="0C41302A"/>
    <w:rsid w:val="0C430B50"/>
    <w:rsid w:val="0DFA7935"/>
    <w:rsid w:val="0E372937"/>
    <w:rsid w:val="0E552DBD"/>
    <w:rsid w:val="108C6F6A"/>
    <w:rsid w:val="110765F0"/>
    <w:rsid w:val="11BB73DB"/>
    <w:rsid w:val="12BC72BB"/>
    <w:rsid w:val="12E27315"/>
    <w:rsid w:val="12FC7CAB"/>
    <w:rsid w:val="135950FD"/>
    <w:rsid w:val="15107A3E"/>
    <w:rsid w:val="155E4C4D"/>
    <w:rsid w:val="15655FDB"/>
    <w:rsid w:val="162C08A7"/>
    <w:rsid w:val="16BE1E47"/>
    <w:rsid w:val="18075128"/>
    <w:rsid w:val="184E0FA9"/>
    <w:rsid w:val="18FA6A3B"/>
    <w:rsid w:val="19235F91"/>
    <w:rsid w:val="19597C05"/>
    <w:rsid w:val="19E133AF"/>
    <w:rsid w:val="1A1F2BFD"/>
    <w:rsid w:val="1BE063BC"/>
    <w:rsid w:val="1D100F23"/>
    <w:rsid w:val="1DD261D8"/>
    <w:rsid w:val="20BE2A44"/>
    <w:rsid w:val="210C7C53"/>
    <w:rsid w:val="213C22E6"/>
    <w:rsid w:val="22CC769A"/>
    <w:rsid w:val="22CD6F6E"/>
    <w:rsid w:val="2452597D"/>
    <w:rsid w:val="262D48F3"/>
    <w:rsid w:val="265E2CFF"/>
    <w:rsid w:val="27547C5E"/>
    <w:rsid w:val="278C73F8"/>
    <w:rsid w:val="27910EB2"/>
    <w:rsid w:val="27C403A0"/>
    <w:rsid w:val="2829733C"/>
    <w:rsid w:val="29257B04"/>
    <w:rsid w:val="29657F00"/>
    <w:rsid w:val="297D16EE"/>
    <w:rsid w:val="29DF4157"/>
    <w:rsid w:val="2ABF1118"/>
    <w:rsid w:val="2AC375D4"/>
    <w:rsid w:val="2ACF5F79"/>
    <w:rsid w:val="2BC74EA2"/>
    <w:rsid w:val="2CE101E6"/>
    <w:rsid w:val="2CE657FC"/>
    <w:rsid w:val="2CFB12A7"/>
    <w:rsid w:val="2DD3332B"/>
    <w:rsid w:val="2DD9710F"/>
    <w:rsid w:val="2DDD09AD"/>
    <w:rsid w:val="31440D43"/>
    <w:rsid w:val="31745184"/>
    <w:rsid w:val="317B29B7"/>
    <w:rsid w:val="31A31F0E"/>
    <w:rsid w:val="325A081E"/>
    <w:rsid w:val="3344327C"/>
    <w:rsid w:val="33460DA3"/>
    <w:rsid w:val="345B6AD0"/>
    <w:rsid w:val="35DB7EC8"/>
    <w:rsid w:val="35DE1766"/>
    <w:rsid w:val="37C329C2"/>
    <w:rsid w:val="37DE5A4E"/>
    <w:rsid w:val="386341A5"/>
    <w:rsid w:val="39007C46"/>
    <w:rsid w:val="39706B79"/>
    <w:rsid w:val="39F3690A"/>
    <w:rsid w:val="39FC665F"/>
    <w:rsid w:val="3AFB2473"/>
    <w:rsid w:val="3B9D352A"/>
    <w:rsid w:val="3C3814A4"/>
    <w:rsid w:val="3C6E4EC6"/>
    <w:rsid w:val="3E974BA8"/>
    <w:rsid w:val="3ECA0ADA"/>
    <w:rsid w:val="3EE6343A"/>
    <w:rsid w:val="3F281CA4"/>
    <w:rsid w:val="40234531"/>
    <w:rsid w:val="41120516"/>
    <w:rsid w:val="42042555"/>
    <w:rsid w:val="42A17DA3"/>
    <w:rsid w:val="42FF4ACA"/>
    <w:rsid w:val="433429C6"/>
    <w:rsid w:val="43E048FB"/>
    <w:rsid w:val="44CA1FDE"/>
    <w:rsid w:val="44CD30D2"/>
    <w:rsid w:val="45790B64"/>
    <w:rsid w:val="459E681C"/>
    <w:rsid w:val="45FA4072"/>
    <w:rsid w:val="47625A25"/>
    <w:rsid w:val="47C02A7A"/>
    <w:rsid w:val="48673414"/>
    <w:rsid w:val="49437E06"/>
    <w:rsid w:val="4968161B"/>
    <w:rsid w:val="49BC54C3"/>
    <w:rsid w:val="4A5E657A"/>
    <w:rsid w:val="4A881849"/>
    <w:rsid w:val="4B5A31E5"/>
    <w:rsid w:val="4B736055"/>
    <w:rsid w:val="4C7C718B"/>
    <w:rsid w:val="4D88228C"/>
    <w:rsid w:val="4E6A373F"/>
    <w:rsid w:val="4E850579"/>
    <w:rsid w:val="4EDD03B5"/>
    <w:rsid w:val="4F6939F7"/>
    <w:rsid w:val="4FB07878"/>
    <w:rsid w:val="4FC275AB"/>
    <w:rsid w:val="52B4767F"/>
    <w:rsid w:val="54776BB6"/>
    <w:rsid w:val="54D13C12"/>
    <w:rsid w:val="550A5C7C"/>
    <w:rsid w:val="56101070"/>
    <w:rsid w:val="56837A94"/>
    <w:rsid w:val="570A5ABF"/>
    <w:rsid w:val="57323268"/>
    <w:rsid w:val="57664CC0"/>
    <w:rsid w:val="57711FE2"/>
    <w:rsid w:val="581F4981"/>
    <w:rsid w:val="5903310E"/>
    <w:rsid w:val="592D018B"/>
    <w:rsid w:val="595E0345"/>
    <w:rsid w:val="59E3084A"/>
    <w:rsid w:val="5A3B68D8"/>
    <w:rsid w:val="5B21787C"/>
    <w:rsid w:val="5B70610D"/>
    <w:rsid w:val="5B94004E"/>
    <w:rsid w:val="5D0B07E3"/>
    <w:rsid w:val="5D331753"/>
    <w:rsid w:val="5D9B1436"/>
    <w:rsid w:val="5EFD415C"/>
    <w:rsid w:val="5F371955"/>
    <w:rsid w:val="5F780E1B"/>
    <w:rsid w:val="602F6597"/>
    <w:rsid w:val="608D150F"/>
    <w:rsid w:val="60A2320D"/>
    <w:rsid w:val="60FD48E7"/>
    <w:rsid w:val="6151253D"/>
    <w:rsid w:val="61840B64"/>
    <w:rsid w:val="61D513C0"/>
    <w:rsid w:val="622F5919"/>
    <w:rsid w:val="62344338"/>
    <w:rsid w:val="64265F03"/>
    <w:rsid w:val="64462101"/>
    <w:rsid w:val="65AB2B63"/>
    <w:rsid w:val="65B37C6A"/>
    <w:rsid w:val="672A7AB8"/>
    <w:rsid w:val="67C65A33"/>
    <w:rsid w:val="67F37617"/>
    <w:rsid w:val="67FF0F45"/>
    <w:rsid w:val="68646FFA"/>
    <w:rsid w:val="68680898"/>
    <w:rsid w:val="688356D2"/>
    <w:rsid w:val="698C05B6"/>
    <w:rsid w:val="69DB32EB"/>
    <w:rsid w:val="6A892D47"/>
    <w:rsid w:val="6C384A25"/>
    <w:rsid w:val="6E985C4F"/>
    <w:rsid w:val="6F02563B"/>
    <w:rsid w:val="6F7915DC"/>
    <w:rsid w:val="71063344"/>
    <w:rsid w:val="71EA3640"/>
    <w:rsid w:val="71EA67C2"/>
    <w:rsid w:val="72031631"/>
    <w:rsid w:val="722E2B52"/>
    <w:rsid w:val="72541E8D"/>
    <w:rsid w:val="727644F9"/>
    <w:rsid w:val="73922C6D"/>
    <w:rsid w:val="74F6722B"/>
    <w:rsid w:val="75287D2D"/>
    <w:rsid w:val="769136B0"/>
    <w:rsid w:val="76AC04E9"/>
    <w:rsid w:val="77A85155"/>
    <w:rsid w:val="77F263D0"/>
    <w:rsid w:val="78BC253A"/>
    <w:rsid w:val="7A70182E"/>
    <w:rsid w:val="7AF4245F"/>
    <w:rsid w:val="7B034450"/>
    <w:rsid w:val="7C0B5CB2"/>
    <w:rsid w:val="7E6B6EDC"/>
    <w:rsid w:val="7E7318ED"/>
    <w:rsid w:val="7F250E39"/>
    <w:rsid w:val="7F587460"/>
    <w:rsid w:val="7F8F6B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3" Type="http://schemas.openxmlformats.org/officeDocument/2006/relationships/fontTable" Target="fontTable.xml"/><Relationship Id="rId32" Type="http://schemas.openxmlformats.org/officeDocument/2006/relationships/numbering" Target="numbering.xml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9</Pages>
  <Words>2138</Words>
  <Characters>2249</Characters>
  <Lines>0</Lines>
  <Paragraphs>0</Paragraphs>
  <TotalTime>7</TotalTime>
  <ScaleCrop>false</ScaleCrop>
  <LinksUpToDate>false</LinksUpToDate>
  <CharactersWithSpaces>2249</CharactersWithSpaces>
  <Application>WPS Office_12.1.0.26895_F1E327BC-269C-435d-A152-05C5408002CA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2026-03-24T03:03:00Z</dcterms:created>
  <dc:creator>admin</dc:creator>
  <cp:lastModifiedBy>即安</cp:lastModifiedBy>
  <dcterms:modified xsi:type="dcterms:W3CDTF">2026-06-27T07:42:41Z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2052-12.1.0.26895</vt:lpwstr>
  </property>
  <property fmtid="{D5CDD505-2E9C-101B-9397-08002B2CF9AE}" pid="3" name="KSOTemplateDocerSaveRecord">
    <vt:lpwstr>eyJoZGlkIjoiZjAzOGM4NThlMzU2YjM4NjI0MjZiNDEwZTY5Mzk2MGIiLCJ1c2VySWQiOiIyODI2Njc2ODQifQ==</vt:lpwstr>
  </property>
  <property fmtid="{D5CDD505-2E9C-101B-9397-08002B2CF9AE}" pid="4" name="ICV">
    <vt:lpwstr>38FCC25B7DC64944BD32654557ED1502_12</vt:lpwstr>
  </property>
</Properties>
</file>